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FB87" w14:textId="6D675E2F" w:rsidR="00420AF7" w:rsidRPr="00B97D9E" w:rsidRDefault="00694C65" w:rsidP="00B97D9E">
      <w:pPr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B97D9E">
        <w:rPr>
          <w:rFonts w:ascii="Helvetica" w:hAnsi="Helvetica" w:cs="Helvetica"/>
          <w:b/>
          <w:bCs/>
          <w:sz w:val="28"/>
          <w:szCs w:val="28"/>
        </w:rPr>
        <w:t>Medicare HCPCS Code G2211</w:t>
      </w:r>
      <w:r w:rsidR="00276221" w:rsidRPr="00B97D9E"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p w14:paraId="799F9DFA" w14:textId="44061D2A" w:rsidR="00B16038" w:rsidRDefault="00276221" w:rsidP="00276221">
      <w:pPr>
        <w:spacing w:line="240" w:lineRule="auto"/>
        <w:jc w:val="center"/>
        <w:rPr>
          <w:rFonts w:ascii="Helvetica" w:hAnsi="Helvetica" w:cs="Helvetica"/>
          <w:b/>
          <w:bCs/>
        </w:rPr>
      </w:pPr>
      <w:r w:rsidRPr="00B97D9E">
        <w:rPr>
          <w:rFonts w:ascii="Helvetica" w:hAnsi="Helvetica" w:cs="Helvetica"/>
          <w:b/>
          <w:bCs/>
          <w:sz w:val="28"/>
          <w:szCs w:val="28"/>
        </w:rPr>
        <w:t>Coding Guidance</w:t>
      </w:r>
    </w:p>
    <w:p w14:paraId="1AB34B81" w14:textId="77777777" w:rsidR="00B16038" w:rsidRPr="00B97D9E" w:rsidRDefault="00B16038" w:rsidP="00B97D9E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14:paraId="34B95D46" w14:textId="717BE0C1" w:rsidR="00586A9A" w:rsidRPr="00B97D9E" w:rsidRDefault="00586A9A" w:rsidP="00B97D9E">
      <w:pPr>
        <w:spacing w:after="0" w:line="240" w:lineRule="auto"/>
        <w:rPr>
          <w:rFonts w:ascii="Helvetica" w:hAnsi="Helvetica" w:cs="Helvetica"/>
          <w:b/>
          <w:bCs/>
        </w:rPr>
      </w:pPr>
      <w:r w:rsidRPr="00B97D9E">
        <w:rPr>
          <w:rFonts w:ascii="Helvetica" w:hAnsi="Helvetica" w:cs="Helvetica"/>
          <w:b/>
          <w:bCs/>
        </w:rPr>
        <w:t>Background:</w:t>
      </w:r>
    </w:p>
    <w:p w14:paraId="5F66C231" w14:textId="4EACDFDC" w:rsidR="00B16038" w:rsidRPr="00B97D9E" w:rsidRDefault="00420AF7" w:rsidP="00B97D9E">
      <w:pPr>
        <w:spacing w:after="0" w:line="240" w:lineRule="auto"/>
        <w:rPr>
          <w:rFonts w:ascii="Helvetica" w:hAnsi="Helvetica" w:cs="Helvetica"/>
        </w:rPr>
      </w:pPr>
      <w:r w:rsidRPr="00B97D9E">
        <w:rPr>
          <w:rFonts w:ascii="Helvetica" w:hAnsi="Helvetica" w:cs="Helvetica"/>
          <w:noProof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664A231D" wp14:editId="46CC245B">
                <wp:simplePos x="0" y="0"/>
                <wp:positionH relativeFrom="margin">
                  <wp:align>left</wp:align>
                </wp:positionH>
                <wp:positionV relativeFrom="margin">
                  <wp:posOffset>1459230</wp:posOffset>
                </wp:positionV>
                <wp:extent cx="5803900" cy="1327150"/>
                <wp:effectExtent l="0" t="0" r="6350" b="6350"/>
                <wp:wrapSquare wrapText="bothSides"/>
                <wp:docPr id="198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0" cy="1327150"/>
                          <a:chOff x="0" y="0"/>
                          <a:chExt cx="3567448" cy="220302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5849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888730" w14:textId="63A39A7C" w:rsidR="00276221" w:rsidRPr="00B97D9E" w:rsidRDefault="00276221">
                              <w:pPr>
                                <w:jc w:val="center"/>
                                <w:rPr>
                                  <w:rFonts w:ascii="Helvetica" w:eastAsiaTheme="majorEastAsia" w:hAnsi="Helvetica" w:cs="Helvetica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B97D9E">
                                <w:rPr>
                                  <w:rFonts w:ascii="Helvetica" w:eastAsiaTheme="majorEastAsia" w:hAnsi="Helvetica" w:cs="Helvetica"/>
                                  <w:color w:val="FFFFFF" w:themeColor="background1"/>
                                  <w:sz w:val="24"/>
                                  <w:szCs w:val="28"/>
                                </w:rPr>
                                <w:t>CODE DESCRIPTOR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58099"/>
                            <a:ext cx="3567448" cy="1844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63300B" w14:textId="7D6EBBA6" w:rsidR="00276221" w:rsidRPr="00B97D9E" w:rsidRDefault="00276221">
                              <w:pPr>
                                <w:rPr>
                                  <w:rFonts w:ascii="Helvetica" w:hAnsi="Helvetica" w:cs="Helvetica"/>
                                  <w:caps/>
                                  <w:color w:val="156082" w:themeColor="accent1"/>
                                  <w:sz w:val="26"/>
                                  <w:szCs w:val="26"/>
                                </w:rPr>
                              </w:pPr>
                              <w:r w:rsidRPr="00B97D9E">
                                <w:rPr>
                                  <w:rFonts w:ascii="Helvetica" w:hAnsi="Helvetica" w:cs="Helvetica"/>
                                  <w:i/>
                                  <w:iCs/>
                                </w:rPr>
                                <w:t>Visit complexity inherent to evaluation and management associated with medical care services that serve as the continuing focal point for all needed health care services and/or with medical care services that are part of ongoing care related to a patient's single, serious condition or a complex condition, (add-on code, list separately in addition to office/outpatient evaluation and management visit, new or established).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4A231D" id="Group 64" o:spid="_x0000_s1026" style="position:absolute;margin-left:0;margin-top:114.9pt;width:457pt;height:104.5pt;z-index:251658240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2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08agMAAIQKAAAOAAAAZHJzL2Uyb0RvYy54bWzMVltP3DwQfa/U/2D5veSyWWAjQkXpB6qE&#10;WlSo+mwcZxPVsf3ZXhL66zvjXMrCiiIqtd2HrC9z8RzPOcnR276V5FZY12hV0GQvpkQorstGrQv6&#10;5frszSElzjNVMqmVKOidcPTt8etXR53JRaprLUthCQRRLu9MQWvvTR5FjteiZW5PG6Fgs9K2ZR6m&#10;dh2VlnUQvZVRGsf7UadtaazmwjlYfT9s0uMQv6oE95+qyglPZEHhbD48bXje4DM6PmL52jJTN3w8&#10;BnvBKVrWKEg6h3rPPCMb2zwK1Tbcaqcrv8d1G+mqargINUA1SfygmnOrNybUss67tZlhAmgf4PTi&#10;sPzj7bk1V+bSAhKdWQMWYYa19JVt8R9OSfoA2d0Mmeg94bC4PIwXqxiQ5bCXLNKDZDmCymtA/pEf&#10;r/8bPRfL/YMsg/ZAzzSNF3Ga4nVEU+Jo6zidgQZxPzFwv4fBVc2MCNC6HDC4tKQpoYDVihLFWmjU&#10;z9A6TK2lILgYwAmWM1Qud4Dac3HaqjZbHmar5VaxLDfW+XOhW4KDglrIHzqK3V44P+AymWBSp2VT&#10;njVShgnSRZxKS24ZNDrjXCifjAm2LKVCe6XRcwiKKwD1VE4Y+Tsp0E6qz6ICZOCi03CYwMvHicIZ&#10;alaKIf8yht+UfTpauNkQEK0ryD/HTp6KPZxytEdXEWg9O8e/dp49Qmat/OzcNkrbXQHkDF812E8g&#10;DdAgSr6/6ce+uNHlHbSQ1YO+OMPPGrjFC+b8JbMgKEAQEEn/CR6V1F1B9TiipNb2+651tIceh11K&#10;OhCogrr/N8wKSuQHBd2/SrIMFS1MsuVBChN7f+fm/o7atKcaWiMBOTY8DNHey2lYWd1+BS09wayw&#10;xRSH3AXl3k6TUz8IJ6gxFycnwQxUzDB/oa4Mx+AIMHbpdf+VWTO2sgex+KgnxrH8QUcPtuip9MnG&#10;66oJ7Y4QD7iO0AP7UaL+gAzAi2WSgWsUune6J7g23jboBaoA8T1sYNXj+pN6sAClHIQEOniXBCaH&#10;WbZKFyNtJu2dKP9MVZiJjdwl0Gf7C9DjAdttyk88GsUl0D7oWRjtEIBn8Gw3u5/h+KfZXX6bxPFJ&#10;dg/vhOl6/zrJR8bvIDm260sJ7v8leod3PnzqhJfF+FmG31L350EOfn48Hv8AAAD//wMAUEsDBBQA&#10;BgAIAAAAIQDpRP3J3wAAAAgBAAAPAAAAZHJzL2Rvd25yZXYueG1sTI/BSsNAEIbvgu+wjODNbpJW&#10;SdNMSinqqQi2gvS2zU6T0OxuyG6T9O0dT3qc+Yd/vi9fT6YVA/W+cRYhnkUgyJZON7ZC+Dq8PaUg&#10;fFBWq9ZZQriRh3Vxf5erTLvRftKwD5XgEuszhVCH0GVS+rImo/zMdWQ5O7veqMBjX0ndq5HLTSuT&#10;KHqRRjWWP9Sqo21N5WV/NQjvoxo38/h12F3O29vx8PzxvYsJ8fFh2qxABJrC3zH84jM6FMx0cler&#10;vWgRWCQgJMmSBThexgvenBAW8zQFWeTyv0DxAwAA//8DAFBLAQItABQABgAIAAAAIQC2gziS/gAA&#10;AOEBAAATAAAAAAAAAAAAAAAAAAAAAABbQ29udGVudF9UeXBlc10ueG1sUEsBAi0AFAAGAAgAAAAh&#10;ADj9If/WAAAAlAEAAAsAAAAAAAAAAAAAAAAALwEAAF9yZWxzLy5yZWxzUEsBAi0AFAAGAAgAAAAh&#10;AEl7fTxqAwAAhAoAAA4AAAAAAAAAAAAAAAAALgIAAGRycy9lMm9Eb2MueG1sUEsBAi0AFAAGAAgA&#10;AAAhAOlE/cnfAAAACAEAAA8AAAAAAAAAAAAAAAAAxAUAAGRycy9kb3ducmV2LnhtbFBLBQYAAAAA&#10;BAAEAPMAAADQBgAAAAA=&#10;">
                <v:rect id="Rectangle 199" o:spid="_x0000_s1027" style="position:absolute;width:35674;height:4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156082 [3204]" stroked="f" strokeweight="1pt">
                  <v:textbox>
                    <w:txbxContent>
                      <w:p w14:paraId="27888730" w14:textId="63A39A7C" w:rsidR="00276221" w:rsidRPr="00B97D9E" w:rsidRDefault="00276221">
                        <w:pPr>
                          <w:jc w:val="center"/>
                          <w:rPr>
                            <w:rFonts w:ascii="Helvetica" w:eastAsiaTheme="majorEastAsia" w:hAnsi="Helvetica" w:cs="Helvetica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B97D9E">
                          <w:rPr>
                            <w:rFonts w:ascii="Helvetica" w:eastAsiaTheme="majorEastAsia" w:hAnsi="Helvetica" w:cs="Helvetica"/>
                            <w:color w:val="FFFFFF" w:themeColor="background1"/>
                            <w:sz w:val="24"/>
                            <w:szCs w:val="28"/>
                          </w:rPr>
                          <w:t>CODE DESCRIPTOR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580;width:35674;height:18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7763300B" w14:textId="7D6EBBA6" w:rsidR="00276221" w:rsidRPr="00B97D9E" w:rsidRDefault="00276221">
                        <w:pPr>
                          <w:rPr>
                            <w:rFonts w:ascii="Helvetica" w:hAnsi="Helvetica" w:cs="Helvetica"/>
                            <w:caps/>
                            <w:color w:val="156082" w:themeColor="accent1"/>
                            <w:sz w:val="26"/>
                            <w:szCs w:val="26"/>
                          </w:rPr>
                        </w:pPr>
                        <w:r w:rsidRPr="00B97D9E">
                          <w:rPr>
                            <w:rFonts w:ascii="Helvetica" w:hAnsi="Helvetica" w:cs="Helvetica"/>
                            <w:i/>
                            <w:iCs/>
                          </w:rPr>
                          <w:t>Visit complexity inherent to evaluation and management associated with medical care services that serve as the continuing focal point for all needed health care services and/or with medical care services that are part of ongoing care related to a patient's single, serious condition or a complex condition, (add-on code, list separately in addition to office/outpatient evaluation and management visit, new or established).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B34FE" w:rsidRPr="00B97D9E">
        <w:rPr>
          <w:rFonts w:ascii="Helvetica" w:hAnsi="Helvetica" w:cs="Helvetica"/>
        </w:rPr>
        <w:t xml:space="preserve">With the release of the </w:t>
      </w:r>
      <w:r w:rsidR="00276221" w:rsidRPr="00B97D9E">
        <w:rPr>
          <w:rFonts w:ascii="Helvetica" w:hAnsi="Helvetica" w:cs="Helvetica"/>
        </w:rPr>
        <w:t xml:space="preserve">Calendar Year (CY) </w:t>
      </w:r>
      <w:r w:rsidR="003B34FE" w:rsidRPr="00B97D9E">
        <w:rPr>
          <w:rFonts w:ascii="Helvetica" w:hAnsi="Helvetica" w:cs="Helvetica"/>
        </w:rPr>
        <w:t xml:space="preserve">2024 Medicare Physician Fee Schedule </w:t>
      </w:r>
      <w:hyperlink r:id="rId7" w:history="1">
        <w:r w:rsidR="003B34FE" w:rsidRPr="00B97D9E">
          <w:rPr>
            <w:rStyle w:val="Hyperlink"/>
            <w:rFonts w:ascii="Helvetica" w:hAnsi="Helvetica" w:cs="Helvetica"/>
          </w:rPr>
          <w:t>final rule</w:t>
        </w:r>
      </w:hyperlink>
      <w:r w:rsidR="003B34FE" w:rsidRPr="00B97D9E">
        <w:rPr>
          <w:rFonts w:ascii="Helvetica" w:hAnsi="Helvetica" w:cs="Helvetica"/>
        </w:rPr>
        <w:t xml:space="preserve">, </w:t>
      </w:r>
      <w:r w:rsidR="00267D37" w:rsidRPr="00B97D9E">
        <w:rPr>
          <w:rFonts w:ascii="Helvetica" w:hAnsi="Helvetica" w:cs="Helvetica"/>
        </w:rPr>
        <w:t>the Centers for Medicare &amp; Medicaid Services (CMS)</w:t>
      </w:r>
      <w:r w:rsidR="003B34FE" w:rsidRPr="00B97D9E">
        <w:rPr>
          <w:rFonts w:ascii="Helvetica" w:hAnsi="Helvetica" w:cs="Helvetica"/>
        </w:rPr>
        <w:t xml:space="preserve"> finalized policy that allows payment for services described by HCPCS code G2211</w:t>
      </w:r>
      <w:r w:rsidR="00276221" w:rsidRPr="00B97D9E">
        <w:rPr>
          <w:rFonts w:ascii="Helvetica" w:hAnsi="Helvetica" w:cs="Helvetica"/>
        </w:rPr>
        <w:t>.</w:t>
      </w:r>
    </w:p>
    <w:p w14:paraId="443B9BE4" w14:textId="4908B738" w:rsidR="00B16038" w:rsidRDefault="00276221" w:rsidP="00276221">
      <w:pPr>
        <w:spacing w:after="0" w:line="240" w:lineRule="auto"/>
        <w:rPr>
          <w:rFonts w:ascii="Helvetica" w:hAnsi="Helvetica" w:cs="Helvetica"/>
          <w:b/>
          <w:bCs/>
        </w:rPr>
      </w:pPr>
      <w:r w:rsidRPr="00B97D9E">
        <w:rPr>
          <w:rFonts w:ascii="Helvetica" w:hAnsi="Helvetica" w:cs="Helvetica"/>
        </w:rPr>
        <w:t xml:space="preserve">First proposed by CMS for implementation in CY 2021 and delayed by Congress for three years, </w:t>
      </w:r>
      <w:r w:rsidR="003B34FE" w:rsidRPr="00B97D9E">
        <w:rPr>
          <w:rFonts w:ascii="Helvetica" w:hAnsi="Helvetica" w:cs="Helvetica"/>
        </w:rPr>
        <w:t>HCPCS code G2211 was created</w:t>
      </w:r>
      <w:r w:rsidR="00267D37" w:rsidRPr="00B97D9E">
        <w:rPr>
          <w:rFonts w:ascii="Helvetica" w:hAnsi="Helvetica" w:cs="Helvetica"/>
        </w:rPr>
        <w:t xml:space="preserve"> </w:t>
      </w:r>
      <w:r w:rsidR="003B34FE" w:rsidRPr="00B97D9E">
        <w:rPr>
          <w:rFonts w:ascii="Helvetica" w:hAnsi="Helvetica" w:cs="Helvetica"/>
        </w:rPr>
        <w:t xml:space="preserve">to recognize </w:t>
      </w:r>
      <w:r w:rsidR="00586A9A" w:rsidRPr="00B97D9E">
        <w:rPr>
          <w:rFonts w:ascii="Helvetica" w:hAnsi="Helvetica" w:cs="Helvetica"/>
        </w:rPr>
        <w:t xml:space="preserve">the additional </w:t>
      </w:r>
      <w:r w:rsidR="003B34FE" w:rsidRPr="00B97D9E">
        <w:rPr>
          <w:rFonts w:ascii="Helvetica" w:hAnsi="Helvetica" w:cs="Helvetica"/>
        </w:rPr>
        <w:t>resource costs</w:t>
      </w:r>
      <w:r w:rsidR="00586A9A" w:rsidRPr="00B97D9E">
        <w:rPr>
          <w:rFonts w:ascii="Helvetica" w:hAnsi="Helvetica" w:cs="Helvetica"/>
        </w:rPr>
        <w:t xml:space="preserve"> </w:t>
      </w:r>
      <w:r w:rsidR="003504BC" w:rsidRPr="00B97D9E">
        <w:rPr>
          <w:rFonts w:ascii="Helvetica" w:hAnsi="Helvetica" w:cs="Helvetica"/>
        </w:rPr>
        <w:t xml:space="preserve">associated with </w:t>
      </w:r>
      <w:r w:rsidR="00586A9A" w:rsidRPr="00B97D9E">
        <w:rPr>
          <w:rFonts w:ascii="Helvetica" w:hAnsi="Helvetica" w:cs="Helvetica"/>
        </w:rPr>
        <w:t>provid</w:t>
      </w:r>
      <w:r w:rsidR="003504BC" w:rsidRPr="00B97D9E">
        <w:rPr>
          <w:rFonts w:ascii="Helvetica" w:hAnsi="Helvetica" w:cs="Helvetica"/>
        </w:rPr>
        <w:t>ing</w:t>
      </w:r>
      <w:r w:rsidR="00586A9A" w:rsidRPr="00B97D9E">
        <w:rPr>
          <w:rFonts w:ascii="Helvetica" w:hAnsi="Helvetica" w:cs="Helvetica"/>
        </w:rPr>
        <w:t xml:space="preserve"> care for</w:t>
      </w:r>
      <w:r w:rsidR="003B34FE" w:rsidRPr="00B97D9E">
        <w:rPr>
          <w:rFonts w:ascii="Helvetica" w:hAnsi="Helvetica" w:cs="Helvetica"/>
        </w:rPr>
        <w:t xml:space="preserve"> </w:t>
      </w:r>
      <w:r w:rsidR="004615FD">
        <w:rPr>
          <w:rFonts w:ascii="Helvetica" w:hAnsi="Helvetica" w:cs="Helvetica"/>
        </w:rPr>
        <w:t xml:space="preserve">a single or multiple </w:t>
      </w:r>
      <w:r w:rsidR="003B34FE" w:rsidRPr="00B97D9E">
        <w:rPr>
          <w:rFonts w:ascii="Helvetica" w:hAnsi="Helvetica" w:cs="Helvetica"/>
        </w:rPr>
        <w:t>complex or serious conditions</w:t>
      </w:r>
      <w:r w:rsidR="00586A9A" w:rsidRPr="00B97D9E">
        <w:rPr>
          <w:rFonts w:ascii="Helvetica" w:hAnsi="Helvetica" w:cs="Helvetica"/>
        </w:rPr>
        <w:t xml:space="preserve"> </w:t>
      </w:r>
      <w:r w:rsidR="00090E48">
        <w:rPr>
          <w:rFonts w:ascii="Helvetica" w:hAnsi="Helvetica" w:cs="Helvetica"/>
        </w:rPr>
        <w:t>for which the billing practitioner</w:t>
      </w:r>
      <w:r w:rsidR="00267D37" w:rsidRPr="00B97D9E">
        <w:rPr>
          <w:rFonts w:ascii="Helvetica" w:hAnsi="Helvetica" w:cs="Helvetica"/>
        </w:rPr>
        <w:t xml:space="preserve"> is </w:t>
      </w:r>
      <w:r w:rsidR="004615FD">
        <w:rPr>
          <w:rFonts w:ascii="Helvetica" w:hAnsi="Helvetica" w:cs="Helvetica"/>
        </w:rPr>
        <w:t xml:space="preserve">or will become </w:t>
      </w:r>
      <w:r w:rsidR="00267D37" w:rsidRPr="00B97D9E">
        <w:rPr>
          <w:rFonts w:ascii="Helvetica" w:hAnsi="Helvetica" w:cs="Helvetica"/>
        </w:rPr>
        <w:t>the “continuing focal point</w:t>
      </w:r>
      <w:r w:rsidR="0085383D">
        <w:rPr>
          <w:rFonts w:ascii="Helvetica" w:hAnsi="Helvetica" w:cs="Helvetica"/>
        </w:rPr>
        <w:t>”</w:t>
      </w:r>
      <w:r w:rsidR="00267D37" w:rsidRPr="00B97D9E">
        <w:rPr>
          <w:rFonts w:ascii="Helvetica" w:hAnsi="Helvetica" w:cs="Helvetica"/>
        </w:rPr>
        <w:t xml:space="preserve"> for </w:t>
      </w:r>
      <w:r w:rsidR="00090E48">
        <w:rPr>
          <w:rFonts w:ascii="Helvetica" w:hAnsi="Helvetica" w:cs="Helvetica"/>
        </w:rPr>
        <w:t>all the care required by the patient or all the care related to the condition(s)</w:t>
      </w:r>
      <w:r w:rsidR="0085383D">
        <w:rPr>
          <w:rFonts w:ascii="Helvetica" w:hAnsi="Helvetica" w:cs="Helvetica"/>
        </w:rPr>
        <w:t>.</w:t>
      </w:r>
      <w:r w:rsidR="00267D37" w:rsidRPr="00B97D9E">
        <w:rPr>
          <w:rFonts w:ascii="Helvetica" w:hAnsi="Helvetica" w:cs="Helvetica"/>
        </w:rPr>
        <w:t xml:space="preserve"> </w:t>
      </w:r>
      <w:r w:rsidR="003B34FE" w:rsidRPr="00B97D9E">
        <w:rPr>
          <w:rFonts w:ascii="Helvetica" w:hAnsi="Helvetica" w:cs="Helvetica"/>
        </w:rPr>
        <w:t xml:space="preserve">The </w:t>
      </w:r>
      <w:r w:rsidR="00586A9A" w:rsidRPr="00B97D9E">
        <w:rPr>
          <w:rFonts w:ascii="Helvetica" w:hAnsi="Helvetica" w:cs="Helvetica"/>
        </w:rPr>
        <w:t xml:space="preserve">code </w:t>
      </w:r>
      <w:r w:rsidR="004615FD">
        <w:rPr>
          <w:rFonts w:ascii="Helvetica" w:hAnsi="Helvetica" w:cs="Helvetica"/>
        </w:rPr>
        <w:t>acknowledges</w:t>
      </w:r>
      <w:r w:rsidR="003B34FE" w:rsidRPr="00B97D9E">
        <w:rPr>
          <w:rFonts w:ascii="Helvetica" w:hAnsi="Helvetica" w:cs="Helvetica"/>
        </w:rPr>
        <w:t xml:space="preserve"> the work</w:t>
      </w:r>
      <w:r w:rsidR="00267D37" w:rsidRPr="00B97D9E">
        <w:rPr>
          <w:rFonts w:ascii="Helvetica" w:hAnsi="Helvetica" w:cs="Helvetica"/>
        </w:rPr>
        <w:t xml:space="preserve"> and time</w:t>
      </w:r>
      <w:r w:rsidR="003B34FE" w:rsidRPr="00B97D9E">
        <w:rPr>
          <w:rFonts w:ascii="Helvetica" w:hAnsi="Helvetica" w:cs="Helvetica"/>
        </w:rPr>
        <w:t xml:space="preserve"> involved in building a trusting patient-physician relationship</w:t>
      </w:r>
      <w:r w:rsidR="00267D37" w:rsidRPr="00B97D9E">
        <w:rPr>
          <w:rFonts w:ascii="Helvetica" w:hAnsi="Helvetica" w:cs="Helvetica"/>
        </w:rPr>
        <w:t xml:space="preserve"> and was created to capture</w:t>
      </w:r>
      <w:r w:rsidR="004615FD">
        <w:rPr>
          <w:rFonts w:ascii="Helvetica" w:hAnsi="Helvetica" w:cs="Helvetica"/>
        </w:rPr>
        <w:t xml:space="preserve"> work associated with</w:t>
      </w:r>
      <w:r w:rsidR="00267D37" w:rsidRPr="00B97D9E">
        <w:rPr>
          <w:rFonts w:ascii="Helvetica" w:hAnsi="Helvetica" w:cs="Helvetica"/>
        </w:rPr>
        <w:t xml:space="preserve"> </w:t>
      </w:r>
      <w:r w:rsidR="003B34FE" w:rsidRPr="00B97D9E">
        <w:rPr>
          <w:rFonts w:ascii="Helvetica" w:hAnsi="Helvetica" w:cs="Helvetica"/>
        </w:rPr>
        <w:t>“primary and longitudinal care that has been previously unrecognized and unaccounted for during evaluation and management visits.” </w:t>
      </w:r>
      <w:r w:rsidR="00586A9A" w:rsidRPr="00B97D9E">
        <w:rPr>
          <w:rFonts w:ascii="Helvetica" w:hAnsi="Helvetica" w:cs="Helvetica"/>
        </w:rPr>
        <w:t xml:space="preserve"> </w:t>
      </w:r>
    </w:p>
    <w:p w14:paraId="5175AE12" w14:textId="77777777" w:rsidR="00B16038" w:rsidRDefault="00B16038" w:rsidP="00276221">
      <w:pPr>
        <w:spacing w:after="0" w:line="240" w:lineRule="auto"/>
        <w:rPr>
          <w:rFonts w:ascii="Helvetica" w:hAnsi="Helvetica" w:cs="Helvetica"/>
          <w:b/>
          <w:bCs/>
        </w:rPr>
      </w:pPr>
    </w:p>
    <w:p w14:paraId="7DB01BE5" w14:textId="2D8E91A2" w:rsidR="00475E90" w:rsidRPr="00B97D9E" w:rsidRDefault="00475E90" w:rsidP="00B97D9E">
      <w:pPr>
        <w:spacing w:after="0" w:line="240" w:lineRule="auto"/>
        <w:rPr>
          <w:rFonts w:ascii="Helvetica" w:hAnsi="Helvetica" w:cs="Helvetica"/>
          <w:b/>
          <w:bCs/>
        </w:rPr>
      </w:pPr>
      <w:r w:rsidRPr="00B97D9E">
        <w:rPr>
          <w:rFonts w:ascii="Helvetica" w:hAnsi="Helvetica" w:cs="Helvetica"/>
          <w:b/>
          <w:bCs/>
        </w:rPr>
        <w:t>Guidelines for Using G2211</w:t>
      </w:r>
      <w:r w:rsidR="003504BC" w:rsidRPr="00B97D9E">
        <w:rPr>
          <w:rFonts w:ascii="Helvetica" w:hAnsi="Helvetica" w:cs="Helvetica"/>
          <w:b/>
          <w:bCs/>
        </w:rPr>
        <w:t>:</w:t>
      </w:r>
    </w:p>
    <w:p w14:paraId="2C562334" w14:textId="69AA0978" w:rsidR="00090E48" w:rsidRDefault="00475E90" w:rsidP="00420AF7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B97D9E">
        <w:rPr>
          <w:rFonts w:ascii="Helvetica" w:hAnsi="Helvetica" w:cs="Helvetica"/>
        </w:rPr>
        <w:t xml:space="preserve">G2211 is an add-on code and may only be billed on claims with </w:t>
      </w:r>
      <w:r w:rsidR="00276221" w:rsidRPr="00B97D9E">
        <w:rPr>
          <w:rFonts w:ascii="Helvetica" w:hAnsi="Helvetica" w:cs="Helvetica"/>
        </w:rPr>
        <w:t xml:space="preserve">a new or established </w:t>
      </w:r>
      <w:r w:rsidR="00AE20CD" w:rsidRPr="00B97D9E">
        <w:rPr>
          <w:rFonts w:ascii="Helvetica" w:hAnsi="Helvetica" w:cs="Helvetica"/>
        </w:rPr>
        <w:t>outpatient</w:t>
      </w:r>
      <w:r w:rsidRPr="00B97D9E">
        <w:rPr>
          <w:rFonts w:ascii="Helvetica" w:hAnsi="Helvetica" w:cs="Helvetica"/>
        </w:rPr>
        <w:t xml:space="preserve"> </w:t>
      </w:r>
      <w:r w:rsidR="00AE20CD" w:rsidRPr="00B97D9E">
        <w:rPr>
          <w:rFonts w:ascii="Helvetica" w:hAnsi="Helvetica" w:cs="Helvetica"/>
        </w:rPr>
        <w:t>evaluation and management (E/M)</w:t>
      </w:r>
      <w:r w:rsidRPr="00B97D9E">
        <w:rPr>
          <w:rFonts w:ascii="Helvetica" w:hAnsi="Helvetica" w:cs="Helvetica"/>
        </w:rPr>
        <w:t xml:space="preserve"> service</w:t>
      </w:r>
      <w:r w:rsidR="00AE20CD" w:rsidRPr="00B97D9E">
        <w:rPr>
          <w:rFonts w:ascii="Helvetica" w:hAnsi="Helvetica" w:cs="Helvetica"/>
        </w:rPr>
        <w:t xml:space="preserve"> (99202-99215)</w:t>
      </w:r>
      <w:r w:rsidRPr="00B97D9E">
        <w:rPr>
          <w:rFonts w:ascii="Helvetica" w:hAnsi="Helvetica" w:cs="Helvetica"/>
        </w:rPr>
        <w:t>.</w:t>
      </w:r>
    </w:p>
    <w:p w14:paraId="691C14A5" w14:textId="5A250586" w:rsidR="00420AF7" w:rsidRDefault="00D4313F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Physicians and advanced practice providers can bill G2211.</w:t>
      </w:r>
    </w:p>
    <w:p w14:paraId="578600B2" w14:textId="292B7A6F" w:rsidR="00090E48" w:rsidRDefault="00090E48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G2211 has been added to the </w:t>
      </w:r>
      <w:r w:rsidR="00176757">
        <w:rPr>
          <w:rFonts w:ascii="Helvetica" w:hAnsi="Helvetica" w:cs="Helvetica"/>
        </w:rPr>
        <w:t>lists of telehealth and audio-only services.</w:t>
      </w:r>
    </w:p>
    <w:p w14:paraId="077313E6" w14:textId="3281D65B" w:rsidR="003F272C" w:rsidRPr="00090E48" w:rsidRDefault="00420AF7" w:rsidP="00B97D9E">
      <w:pPr>
        <w:pStyle w:val="ListParagraph"/>
      </w:pPr>
      <w:r w:rsidRPr="00420AF7">
        <w:rPr>
          <w:rFonts w:ascii="Helvetica" w:hAnsi="Helvetica" w:cs="Helvetica"/>
          <w:b/>
          <w:bCs/>
        </w:rPr>
        <w:t xml:space="preserve">The most important factor in determining when to bill for services captured by G2211 is </w:t>
      </w:r>
      <w:r w:rsidR="00090E48">
        <w:rPr>
          <w:rFonts w:ascii="Helvetica" w:hAnsi="Helvetica" w:cs="Helvetica"/>
          <w:b/>
          <w:bCs/>
        </w:rPr>
        <w:t xml:space="preserve">whether a longitudinal relationship exists or is being developed between the patient and the practitioner. </w:t>
      </w:r>
      <w:r w:rsidR="00090E48">
        <w:rPr>
          <w:rFonts w:ascii="Helvetica" w:hAnsi="Helvetica" w:cs="Helvetica"/>
        </w:rPr>
        <w:t>It does not apply when the practitioner’s relationship with the patient is of a discrete, routine, or time-limited nature.</w:t>
      </w:r>
    </w:p>
    <w:p w14:paraId="275F7D03" w14:textId="1BFE7B4B" w:rsidR="003F272C" w:rsidRPr="00B97D9E" w:rsidRDefault="00AE20CD" w:rsidP="00B97D9E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B97D9E">
        <w:rPr>
          <w:rFonts w:ascii="Helvetica" w:hAnsi="Helvetica" w:cs="Helvetica"/>
        </w:rPr>
        <w:t xml:space="preserve">G2211 may not be used when a procedure is performed on the same day, by the same </w:t>
      </w:r>
      <w:r w:rsidR="00090E48">
        <w:rPr>
          <w:rFonts w:ascii="Helvetica" w:hAnsi="Helvetica" w:cs="Helvetica"/>
        </w:rPr>
        <w:t>practitioner</w:t>
      </w:r>
      <w:r w:rsidRPr="00B97D9E">
        <w:rPr>
          <w:rFonts w:ascii="Helvetica" w:hAnsi="Helvetica" w:cs="Helvetica"/>
        </w:rPr>
        <w:t xml:space="preserve">, and </w:t>
      </w:r>
      <w:r w:rsidRPr="00B97D9E">
        <w:rPr>
          <w:rFonts w:ascii="Helvetica" w:hAnsi="Helvetica" w:cs="Helvetica"/>
          <w:b/>
          <w:bCs/>
        </w:rPr>
        <w:t>modifier -25</w:t>
      </w:r>
      <w:r w:rsidRPr="00B97D9E">
        <w:rPr>
          <w:rFonts w:ascii="Helvetica" w:hAnsi="Helvetica" w:cs="Helvetica"/>
        </w:rPr>
        <w:t xml:space="preserve"> (</w:t>
      </w:r>
      <w:r w:rsidRPr="00B97D9E">
        <w:rPr>
          <w:rFonts w:ascii="Helvetica" w:hAnsi="Helvetica" w:cs="Helvetica"/>
          <w:i/>
          <w:iCs/>
        </w:rPr>
        <w:t xml:space="preserve">Significant, separately identifiable evaluation and management service by the same physician or other qualified health care professional on the same day of the procedure or other service is appended to the E/M service) </w:t>
      </w:r>
      <w:r w:rsidRPr="00B97D9E">
        <w:rPr>
          <w:rFonts w:ascii="Helvetica" w:hAnsi="Helvetica" w:cs="Helvetica"/>
        </w:rPr>
        <w:t>is appended to the E/M service.</w:t>
      </w:r>
    </w:p>
    <w:p w14:paraId="722C7A4B" w14:textId="22ECD8CD" w:rsidR="00B97D9E" w:rsidRDefault="00004AF1" w:rsidP="00B97D9E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r w:rsidRPr="00B97D9E">
        <w:rPr>
          <w:rFonts w:ascii="Helvetica" w:hAnsi="Helvetica" w:cs="Helvetica"/>
        </w:rPr>
        <w:t xml:space="preserve">Any </w:t>
      </w:r>
      <w:r w:rsidR="00D4313F">
        <w:rPr>
          <w:rFonts w:ascii="Helvetica" w:hAnsi="Helvetica" w:cs="Helvetica"/>
        </w:rPr>
        <w:t>practitioner</w:t>
      </w:r>
      <w:r w:rsidRPr="00B97D9E">
        <w:rPr>
          <w:rFonts w:ascii="Helvetica" w:hAnsi="Helvetica" w:cs="Helvetica"/>
        </w:rPr>
        <w:t xml:space="preserve">, regardless of specialty may bill for G2211 if medical documentation supports the use of the code. </w:t>
      </w:r>
    </w:p>
    <w:p w14:paraId="7FC34957" w14:textId="1721C0D0" w:rsidR="002B046A" w:rsidRDefault="002B046A" w:rsidP="00B97D9E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Team-based physicians (</w:t>
      </w:r>
      <w:r w:rsidR="00ED46CA">
        <w:rPr>
          <w:rFonts w:ascii="Helvetica" w:hAnsi="Helvetica" w:cs="Helvetica"/>
        </w:rPr>
        <w:t>e.g.,</w:t>
      </w:r>
      <w:r>
        <w:rPr>
          <w:rFonts w:ascii="Helvetica" w:hAnsi="Helvetica" w:cs="Helvetica"/>
        </w:rPr>
        <w:t xml:space="preserve"> transplant teams) and p</w:t>
      </w:r>
      <w:r w:rsidR="008A2800">
        <w:rPr>
          <w:rFonts w:ascii="Helvetica" w:hAnsi="Helvetica" w:cs="Helvetica"/>
        </w:rPr>
        <w:t xml:space="preserve">hysicians within the same group practice and with the same specialty designation may bill G2211 for the same patient. </w:t>
      </w:r>
    </w:p>
    <w:p w14:paraId="6A87D791" w14:textId="77777777" w:rsidR="00B97D9E" w:rsidRPr="00B97D9E" w:rsidRDefault="00B97D9E" w:rsidP="002B046A">
      <w:pPr>
        <w:pStyle w:val="ListParagraph"/>
        <w:spacing w:after="0" w:line="240" w:lineRule="auto"/>
      </w:pPr>
    </w:p>
    <w:p w14:paraId="41BA9B4F" w14:textId="3089CD80" w:rsidR="00B97D9E" w:rsidRDefault="003504BC" w:rsidP="00B97D9E">
      <w:pPr>
        <w:spacing w:after="0" w:line="240" w:lineRule="auto"/>
        <w:rPr>
          <w:rFonts w:ascii="Helvetica" w:hAnsi="Helvetica" w:cs="Helvetica"/>
        </w:rPr>
      </w:pPr>
      <w:r w:rsidRPr="00B97D9E">
        <w:rPr>
          <w:rFonts w:ascii="Helvetica" w:hAnsi="Helvetica" w:cs="Helvetica"/>
        </w:rPr>
        <w:t xml:space="preserve">G2211 should not be added </w:t>
      </w:r>
      <w:r w:rsidR="00D45B7F">
        <w:rPr>
          <w:rFonts w:ascii="Helvetica" w:hAnsi="Helvetica" w:cs="Helvetica"/>
        </w:rPr>
        <w:t>to</w:t>
      </w:r>
      <w:r w:rsidR="00D45B7F" w:rsidRPr="00B97D9E">
        <w:rPr>
          <w:rFonts w:ascii="Helvetica" w:hAnsi="Helvetica" w:cs="Helvetica"/>
        </w:rPr>
        <w:t xml:space="preserve"> </w:t>
      </w:r>
      <w:r w:rsidRPr="00B97D9E">
        <w:rPr>
          <w:rFonts w:ascii="Helvetica" w:hAnsi="Helvetica" w:cs="Helvetica"/>
        </w:rPr>
        <w:t xml:space="preserve">every claim billed for office/outpatient E/M services. Documentation and the relationship between the provider and the patient must support the use of the code. </w:t>
      </w:r>
    </w:p>
    <w:p w14:paraId="09140870" w14:textId="77777777" w:rsidR="00962AA0" w:rsidRDefault="00962AA0" w:rsidP="00B97D9E">
      <w:pPr>
        <w:spacing w:after="0" w:line="240" w:lineRule="auto"/>
        <w:rPr>
          <w:rFonts w:ascii="Helvetica" w:hAnsi="Helvetica" w:cs="Helvetica"/>
        </w:rPr>
      </w:pPr>
    </w:p>
    <w:p w14:paraId="38B686B7" w14:textId="72690589" w:rsidR="00962AA0" w:rsidRPr="008754A2" w:rsidRDefault="00F329EB" w:rsidP="00B97D9E">
      <w:pPr>
        <w:spacing w:after="0" w:line="240" w:lineRule="auto"/>
        <w:rPr>
          <w:rFonts w:ascii="Helvetica" w:hAnsi="Helvetica" w:cs="Helvetica"/>
        </w:rPr>
      </w:pPr>
      <w:r w:rsidRPr="008754A2">
        <w:rPr>
          <w:rFonts w:ascii="Helvetica" w:hAnsi="Helvetica" w:cs="Helvetica"/>
        </w:rPr>
        <w:lastRenderedPageBreak/>
        <w:t xml:space="preserve">Patients will be responsible for additional </w:t>
      </w:r>
      <w:r w:rsidR="00962AA0" w:rsidRPr="008754A2">
        <w:rPr>
          <w:rFonts w:ascii="Helvetica" w:hAnsi="Helvetica" w:cs="Helvetica"/>
        </w:rPr>
        <w:t>deductibles and coinsurance payments when this code</w:t>
      </w:r>
      <w:r w:rsidRPr="008754A2">
        <w:rPr>
          <w:rFonts w:ascii="Helvetica" w:hAnsi="Helvetica" w:cs="Helvetica"/>
        </w:rPr>
        <w:t xml:space="preserve"> is billed</w:t>
      </w:r>
      <w:r w:rsidR="00962AA0" w:rsidRPr="008754A2">
        <w:rPr>
          <w:rFonts w:ascii="Helvetica" w:hAnsi="Helvetica" w:cs="Helvetica"/>
        </w:rPr>
        <w:t xml:space="preserve"> under the Medicare program.</w:t>
      </w:r>
    </w:p>
    <w:p w14:paraId="2B8EFDE5" w14:textId="77777777" w:rsidR="00962AA0" w:rsidRPr="008754A2" w:rsidRDefault="00962AA0" w:rsidP="00B97D9E">
      <w:pPr>
        <w:spacing w:after="0" w:line="240" w:lineRule="auto"/>
        <w:rPr>
          <w:rFonts w:ascii="Helvetica" w:hAnsi="Helvetica" w:cs="Helvetica"/>
        </w:rPr>
      </w:pPr>
    </w:p>
    <w:p w14:paraId="017835E7" w14:textId="06A77031" w:rsidR="00962AA0" w:rsidRDefault="00962AA0" w:rsidP="00B97D9E">
      <w:pPr>
        <w:spacing w:after="0" w:line="240" w:lineRule="auto"/>
        <w:rPr>
          <w:rFonts w:ascii="Helvetica" w:hAnsi="Helvetica" w:cs="Helvetica"/>
        </w:rPr>
      </w:pPr>
      <w:r w:rsidRPr="008754A2">
        <w:rPr>
          <w:rFonts w:ascii="Helvetica" w:hAnsi="Helvetica" w:cs="Helvetica"/>
        </w:rPr>
        <w:t>Private payers such as Medicaid, Medicare Advantage, and commercial insurance companies are not required to pay for services associated with G2211</w:t>
      </w:r>
      <w:r w:rsidR="00F329EB" w:rsidRPr="008754A2">
        <w:rPr>
          <w:rFonts w:ascii="Helvetica" w:hAnsi="Helvetica" w:cs="Helvetica"/>
        </w:rPr>
        <w:t xml:space="preserve"> and coverage will vary.</w:t>
      </w:r>
    </w:p>
    <w:p w14:paraId="0AC650E5" w14:textId="77777777" w:rsidR="00B97D9E" w:rsidRPr="00B97D9E" w:rsidRDefault="00B97D9E" w:rsidP="00B97D9E">
      <w:pPr>
        <w:spacing w:after="0" w:line="240" w:lineRule="auto"/>
        <w:rPr>
          <w:rFonts w:ascii="Helvetica" w:hAnsi="Helvetica" w:cs="Helvetica"/>
        </w:rPr>
      </w:pPr>
    </w:p>
    <w:p w14:paraId="14B096E4" w14:textId="47F77984" w:rsidR="004615FD" w:rsidRDefault="004615FD" w:rsidP="00B97D9E">
      <w:pPr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Documentation:</w:t>
      </w:r>
    </w:p>
    <w:p w14:paraId="19AD9EA1" w14:textId="1A82EE4E" w:rsidR="004615FD" w:rsidRPr="00B97D9E" w:rsidRDefault="004615FD" w:rsidP="004615FD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Document the outpatient E/M service</w:t>
      </w:r>
      <w:r w:rsidR="005A5991">
        <w:rPr>
          <w:rFonts w:ascii="Helvetica" w:hAnsi="Helvetica" w:cs="Helvetica"/>
        </w:rPr>
        <w:t>, including medical necessity and time spent (if applicable).</w:t>
      </w:r>
    </w:p>
    <w:p w14:paraId="53CF3CA8" w14:textId="531E9D19" w:rsidR="005A5991" w:rsidRPr="00B97D9E" w:rsidRDefault="00987435" w:rsidP="005A5991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Consistent diagnosis coding is a</w:t>
      </w:r>
      <w:r w:rsidR="001472C6">
        <w:rPr>
          <w:rFonts w:ascii="Helvetica" w:hAnsi="Helvetica" w:cs="Helvetica"/>
        </w:rPr>
        <w:t xml:space="preserve"> crucial component of the documentation for G2211</w:t>
      </w:r>
      <w:r w:rsidR="00ED46CA">
        <w:rPr>
          <w:rFonts w:ascii="Helvetica" w:hAnsi="Helvetica" w:cs="Helvetica"/>
        </w:rPr>
        <w:t xml:space="preserve">. </w:t>
      </w:r>
      <w:r w:rsidR="005A5991" w:rsidRPr="00B97D9E">
        <w:rPr>
          <w:rFonts w:ascii="Helvetica" w:hAnsi="Helvetica" w:cs="Helvetica"/>
        </w:rPr>
        <w:t xml:space="preserve">CMS </w:t>
      </w:r>
      <w:r>
        <w:rPr>
          <w:rFonts w:ascii="Helvetica" w:hAnsi="Helvetica" w:cs="Helvetica"/>
        </w:rPr>
        <w:t xml:space="preserve">may </w:t>
      </w:r>
      <w:r w:rsidR="005A5991" w:rsidRPr="00B97D9E">
        <w:rPr>
          <w:rFonts w:ascii="Helvetica" w:hAnsi="Helvetica" w:cs="Helvetica"/>
        </w:rPr>
        <w:t xml:space="preserve">review documentation in the medical record or claims history that </w:t>
      </w:r>
      <w:r w:rsidR="001472C6">
        <w:rPr>
          <w:rFonts w:ascii="Helvetica" w:hAnsi="Helvetica" w:cs="Helvetica"/>
        </w:rPr>
        <w:t xml:space="preserve">shows </w:t>
      </w:r>
      <w:r w:rsidR="005A5991" w:rsidRPr="00B97D9E">
        <w:rPr>
          <w:rFonts w:ascii="Helvetica" w:hAnsi="Helvetica" w:cs="Helvetica"/>
        </w:rPr>
        <w:t>the required patient and practitioner</w:t>
      </w:r>
      <w:r w:rsidR="001472C6">
        <w:rPr>
          <w:rFonts w:ascii="Helvetica" w:hAnsi="Helvetica" w:cs="Helvetica"/>
        </w:rPr>
        <w:t xml:space="preserve"> relationship, which may be indicated by consistent use of the same diagnosis over time</w:t>
      </w:r>
      <w:r w:rsidR="00ED46CA">
        <w:rPr>
          <w:rFonts w:ascii="Helvetica" w:hAnsi="Helvetica" w:cs="Helvetica"/>
        </w:rPr>
        <w:t xml:space="preserve">. </w:t>
      </w:r>
    </w:p>
    <w:p w14:paraId="50A75559" w14:textId="3A00D160" w:rsidR="00090E48" w:rsidRPr="005A5991" w:rsidRDefault="004615FD" w:rsidP="005A5991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  <w:b/>
          <w:bCs/>
        </w:rPr>
      </w:pPr>
      <w:r w:rsidRPr="005A5991">
        <w:rPr>
          <w:rFonts w:ascii="Helvetica" w:hAnsi="Helvetica" w:cs="Helvetica"/>
        </w:rPr>
        <w:t>The practitioner’s assessment and plan for the visit</w:t>
      </w:r>
      <w:r w:rsidR="00090E48" w:rsidRPr="005A5991">
        <w:rPr>
          <w:rFonts w:ascii="Helvetica" w:hAnsi="Helvetica" w:cs="Helvetica"/>
        </w:rPr>
        <w:t xml:space="preserve"> that includes clear direction and a care plan demonstrating patient return and continued care for the patient and/or condition.</w:t>
      </w:r>
    </w:p>
    <w:p w14:paraId="1898BCBB" w14:textId="12C52E28" w:rsidR="004615FD" w:rsidRPr="00B97D9E" w:rsidRDefault="00090E48" w:rsidP="004615FD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If the visit is unrelated to the treatment of an ongoing medical issue, the note should indicate that the patient is returning to the practice.</w:t>
      </w:r>
    </w:p>
    <w:p w14:paraId="0D8F9CB5" w14:textId="69500AE1" w:rsidR="004615FD" w:rsidRPr="00D81EA5" w:rsidRDefault="004615FD" w:rsidP="00B97D9E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Other service codes billed.</w:t>
      </w:r>
    </w:p>
    <w:p w14:paraId="4C25AB81" w14:textId="77777777" w:rsidR="00D81EA5" w:rsidRDefault="00D81EA5" w:rsidP="00D81EA5">
      <w:pPr>
        <w:spacing w:after="0" w:line="240" w:lineRule="auto"/>
        <w:rPr>
          <w:rFonts w:ascii="Helvetica" w:hAnsi="Helvetica" w:cs="Helvetica"/>
          <w:b/>
          <w:bCs/>
        </w:rPr>
      </w:pPr>
    </w:p>
    <w:p w14:paraId="4E28178B" w14:textId="5B8A161B" w:rsidR="00C62B8F" w:rsidRDefault="00C62B8F" w:rsidP="00D81EA5">
      <w:pPr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Clinical Example:</w:t>
      </w:r>
    </w:p>
    <w:p w14:paraId="53998953" w14:textId="06AEBEA8" w:rsidR="00C62B8F" w:rsidRPr="00C62B8F" w:rsidRDefault="00C62B8F" w:rsidP="00C62B8F">
      <w:pPr>
        <w:spacing w:after="0" w:line="240" w:lineRule="auto"/>
        <w:rPr>
          <w:rFonts w:ascii="Helvetica" w:hAnsi="Helvetica" w:cs="Helvetica"/>
        </w:rPr>
      </w:pPr>
      <w:r w:rsidRPr="00C62B8F">
        <w:rPr>
          <w:rFonts w:ascii="Helvetica" w:hAnsi="Helvetica" w:cs="Helvetica"/>
        </w:rPr>
        <w:t xml:space="preserve">A common clinical example for a gynecologic oncologist </w:t>
      </w:r>
      <w:r>
        <w:rPr>
          <w:rFonts w:ascii="Helvetica" w:hAnsi="Helvetica" w:cs="Helvetica"/>
        </w:rPr>
        <w:t>is the</w:t>
      </w:r>
      <w:r w:rsidRPr="00C62B8F">
        <w:rPr>
          <w:rFonts w:ascii="Helvetica" w:hAnsi="Helvetica" w:cs="Helvetica"/>
        </w:rPr>
        <w:t xml:space="preserve"> routine follow</w:t>
      </w:r>
      <w:r>
        <w:rPr>
          <w:rFonts w:ascii="Helvetica" w:hAnsi="Helvetica" w:cs="Helvetica"/>
        </w:rPr>
        <w:t>-</w:t>
      </w:r>
      <w:r w:rsidRPr="00C62B8F">
        <w:rPr>
          <w:rFonts w:ascii="Helvetica" w:hAnsi="Helvetica" w:cs="Helvetica"/>
        </w:rPr>
        <w:t>up</w:t>
      </w:r>
      <w:r>
        <w:rPr>
          <w:rFonts w:ascii="Helvetica" w:hAnsi="Helvetica" w:cs="Helvetica"/>
        </w:rPr>
        <w:t>/</w:t>
      </w:r>
      <w:r w:rsidRPr="00C62B8F">
        <w:rPr>
          <w:rFonts w:ascii="Helvetica" w:hAnsi="Helvetica" w:cs="Helvetica"/>
        </w:rPr>
        <w:t xml:space="preserve">surveillance visit for the patient with cancer. </w:t>
      </w:r>
      <w:r w:rsidRPr="00C62B8F">
        <w:rPr>
          <w:rFonts w:ascii="Helvetica" w:hAnsi="Helvetica" w:cs="Helvetica"/>
        </w:rPr>
        <w:t>If</w:t>
      </w:r>
      <w:r w:rsidRPr="00C62B8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the </w:t>
      </w:r>
      <w:r w:rsidRPr="00C62B8F">
        <w:rPr>
          <w:rFonts w:ascii="Helvetica" w:hAnsi="Helvetica" w:cs="Helvetica"/>
        </w:rPr>
        <w:t>long-term</w:t>
      </w:r>
      <w:r>
        <w:rPr>
          <w:rFonts w:ascii="Helvetica" w:hAnsi="Helvetica" w:cs="Helvetica"/>
        </w:rPr>
        <w:t>/longitudinal</w:t>
      </w:r>
      <w:r w:rsidRPr="00C62B8F">
        <w:rPr>
          <w:rFonts w:ascii="Helvetica" w:hAnsi="Helvetica" w:cs="Helvetica"/>
        </w:rPr>
        <w:t xml:space="preserve"> relationship is noted in the </w:t>
      </w:r>
      <w:r>
        <w:rPr>
          <w:rFonts w:ascii="Helvetica" w:hAnsi="Helvetica" w:cs="Helvetica"/>
        </w:rPr>
        <w:t xml:space="preserve">patient’s </w:t>
      </w:r>
      <w:r w:rsidRPr="00C62B8F">
        <w:rPr>
          <w:rFonts w:ascii="Helvetica" w:hAnsi="Helvetica" w:cs="Helvetica"/>
        </w:rPr>
        <w:t xml:space="preserve">chart </w:t>
      </w:r>
      <w:r>
        <w:rPr>
          <w:rFonts w:ascii="Helvetica" w:hAnsi="Helvetica" w:cs="Helvetica"/>
        </w:rPr>
        <w:t>it may be appropriate to append</w:t>
      </w:r>
      <w:r w:rsidRPr="00C62B8F">
        <w:rPr>
          <w:rFonts w:ascii="Helvetica" w:hAnsi="Helvetica" w:cs="Helvetica"/>
        </w:rPr>
        <w:t xml:space="preserve"> G2211</w:t>
      </w:r>
      <w:r>
        <w:rPr>
          <w:rFonts w:ascii="Helvetica" w:hAnsi="Helvetica" w:cs="Helvetica"/>
        </w:rPr>
        <w:t xml:space="preserve"> to the claim,</w:t>
      </w:r>
      <w:r w:rsidRPr="00C62B8F">
        <w:rPr>
          <w:rFonts w:ascii="Helvetica" w:hAnsi="Helvetica" w:cs="Helvetica"/>
        </w:rPr>
        <w:t xml:space="preserve"> in addition to </w:t>
      </w:r>
      <w:r>
        <w:rPr>
          <w:rFonts w:ascii="Helvetica" w:hAnsi="Helvetica" w:cs="Helvetica"/>
        </w:rPr>
        <w:t xml:space="preserve">the appropriate </w:t>
      </w:r>
      <w:r w:rsidRPr="00C62B8F">
        <w:rPr>
          <w:rFonts w:ascii="Helvetica" w:hAnsi="Helvetica" w:cs="Helvetica"/>
        </w:rPr>
        <w:t xml:space="preserve">E/M </w:t>
      </w:r>
      <w:r>
        <w:rPr>
          <w:rFonts w:ascii="Helvetica" w:hAnsi="Helvetica" w:cs="Helvetica"/>
        </w:rPr>
        <w:t xml:space="preserve">service code. This type of </w:t>
      </w:r>
      <w:r w:rsidRPr="00C62B8F">
        <w:rPr>
          <w:rFonts w:ascii="Helvetica" w:hAnsi="Helvetica" w:cs="Helvetica"/>
        </w:rPr>
        <w:t xml:space="preserve">examination for patients with ovarian or endometrial cancer are for continued, longitudinal care of </w:t>
      </w:r>
      <w:r>
        <w:rPr>
          <w:rFonts w:ascii="Helvetica" w:hAnsi="Helvetica" w:cs="Helvetica"/>
        </w:rPr>
        <w:t xml:space="preserve">a </w:t>
      </w:r>
      <w:r w:rsidRPr="00C62B8F">
        <w:rPr>
          <w:rFonts w:ascii="Helvetica" w:hAnsi="Helvetica" w:cs="Helvetica"/>
        </w:rPr>
        <w:t>chronic condition, a history of cancer.</w:t>
      </w:r>
    </w:p>
    <w:p w14:paraId="2E29A664" w14:textId="77777777" w:rsidR="00C62B8F" w:rsidRPr="00D81EA5" w:rsidRDefault="00C62B8F" w:rsidP="00D81EA5">
      <w:pPr>
        <w:spacing w:after="0" w:line="240" w:lineRule="auto"/>
        <w:rPr>
          <w:rFonts w:ascii="Helvetica" w:hAnsi="Helvetica" w:cs="Helvetica"/>
          <w:b/>
          <w:bCs/>
        </w:rPr>
      </w:pPr>
    </w:p>
    <w:p w14:paraId="27B25956" w14:textId="77777777" w:rsidR="004615FD" w:rsidRDefault="004615FD" w:rsidP="00B97D9E">
      <w:pPr>
        <w:spacing w:after="0" w:line="240" w:lineRule="auto"/>
        <w:rPr>
          <w:rFonts w:ascii="Helvetica" w:hAnsi="Helvetica" w:cs="Helvetica"/>
          <w:b/>
          <w:bCs/>
        </w:rPr>
      </w:pPr>
    </w:p>
    <w:p w14:paraId="2BF1C146" w14:textId="7A7CAE91" w:rsidR="00B16038" w:rsidRPr="00B97D9E" w:rsidRDefault="003504BC" w:rsidP="00B97D9E">
      <w:pPr>
        <w:spacing w:line="240" w:lineRule="auto"/>
        <w:rPr>
          <w:rFonts w:ascii="Helvetica" w:hAnsi="Helvetica" w:cs="Helvetica"/>
          <w:b/>
          <w:bCs/>
        </w:rPr>
      </w:pPr>
      <w:r w:rsidRPr="00B97D9E">
        <w:rPr>
          <w:rFonts w:ascii="Helvetica" w:hAnsi="Helvetica" w:cs="Helvetica"/>
          <w:b/>
          <w:bCs/>
        </w:rPr>
        <w:t>Payment</w:t>
      </w:r>
      <w:r w:rsidR="002C631C">
        <w:rPr>
          <w:rFonts w:ascii="Helvetica" w:hAnsi="Helvetica" w:cs="Helvetica"/>
          <w:b/>
          <w:bCs/>
        </w:rPr>
        <w:t xml:space="preserve"> for G2211</w:t>
      </w:r>
      <w:r w:rsidRPr="00B97D9E">
        <w:rPr>
          <w:rFonts w:ascii="Helvetica" w:hAnsi="Helvetica" w:cs="Helvetica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31D4" w14:paraId="0E42BA53" w14:textId="77777777" w:rsidTr="006231D4">
        <w:tc>
          <w:tcPr>
            <w:tcW w:w="3116" w:type="dxa"/>
          </w:tcPr>
          <w:p w14:paraId="1E881EA7" w14:textId="7F20F8DD" w:rsidR="006231D4" w:rsidRPr="00B97D9E" w:rsidRDefault="006231D4" w:rsidP="00B97D9E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B97D9E">
              <w:rPr>
                <w:rFonts w:ascii="Helvetica" w:hAnsi="Helvetica" w:cs="Helvetica"/>
                <w:b/>
                <w:bCs/>
              </w:rPr>
              <w:t>Work RVUs</w:t>
            </w:r>
          </w:p>
        </w:tc>
        <w:tc>
          <w:tcPr>
            <w:tcW w:w="3117" w:type="dxa"/>
          </w:tcPr>
          <w:p w14:paraId="670CA769" w14:textId="2ED8E37A" w:rsidR="006231D4" w:rsidRPr="00B97D9E" w:rsidRDefault="006231D4" w:rsidP="00B97D9E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B97D9E">
              <w:rPr>
                <w:rFonts w:ascii="Helvetica" w:hAnsi="Helvetica" w:cs="Helvetica"/>
                <w:b/>
                <w:bCs/>
              </w:rPr>
              <w:t>Total RVUs</w:t>
            </w:r>
          </w:p>
        </w:tc>
        <w:tc>
          <w:tcPr>
            <w:tcW w:w="3117" w:type="dxa"/>
          </w:tcPr>
          <w:p w14:paraId="6B7F5091" w14:textId="4DF04045" w:rsidR="006231D4" w:rsidRPr="00B97D9E" w:rsidRDefault="006231D4" w:rsidP="00B97D9E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B97D9E">
              <w:rPr>
                <w:rFonts w:ascii="Helvetica" w:hAnsi="Helvetica" w:cs="Helvetica"/>
                <w:b/>
                <w:bCs/>
              </w:rPr>
              <w:t>Estimated Payment</w:t>
            </w:r>
          </w:p>
        </w:tc>
      </w:tr>
      <w:tr w:rsidR="006231D4" w14:paraId="56DB2B3F" w14:textId="77777777" w:rsidTr="006231D4">
        <w:tc>
          <w:tcPr>
            <w:tcW w:w="3116" w:type="dxa"/>
          </w:tcPr>
          <w:p w14:paraId="30F2A824" w14:textId="57CAC940" w:rsidR="006231D4" w:rsidRDefault="006231D4" w:rsidP="00B97D9E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</w:t>
            </w:r>
            <w:r w:rsidR="00D45B7F">
              <w:rPr>
                <w:rFonts w:ascii="Helvetica" w:hAnsi="Helvetica" w:cs="Helvetica"/>
              </w:rPr>
              <w:t>33</w:t>
            </w:r>
          </w:p>
        </w:tc>
        <w:tc>
          <w:tcPr>
            <w:tcW w:w="3117" w:type="dxa"/>
          </w:tcPr>
          <w:p w14:paraId="68294A70" w14:textId="19977831" w:rsidR="006231D4" w:rsidRDefault="006231D4" w:rsidP="00B97D9E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</w:t>
            </w:r>
            <w:r w:rsidR="00D45B7F">
              <w:rPr>
                <w:rFonts w:ascii="Helvetica" w:hAnsi="Helvetica" w:cs="Helvetica"/>
              </w:rPr>
              <w:t>49</w:t>
            </w:r>
          </w:p>
        </w:tc>
        <w:tc>
          <w:tcPr>
            <w:tcW w:w="3117" w:type="dxa"/>
          </w:tcPr>
          <w:p w14:paraId="131990F8" w14:textId="6C20139F" w:rsidR="006231D4" w:rsidRDefault="006231D4" w:rsidP="00B97D9E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$16.04*</w:t>
            </w:r>
          </w:p>
        </w:tc>
      </w:tr>
    </w:tbl>
    <w:p w14:paraId="12C0D99B" w14:textId="5DCBD4DF" w:rsidR="00475E90" w:rsidRPr="00B97D9E" w:rsidRDefault="006231D4" w:rsidP="00B97D9E">
      <w:pPr>
        <w:spacing w:line="240" w:lineRule="auto"/>
        <w:rPr>
          <w:rFonts w:ascii="Helvetica" w:hAnsi="Helvetica" w:cs="Helvetica"/>
          <w:i/>
          <w:iCs/>
        </w:rPr>
      </w:pPr>
      <w:r w:rsidRPr="00B97D9E">
        <w:rPr>
          <w:rFonts w:ascii="Helvetica" w:hAnsi="Helvetica" w:cs="Helvetica"/>
          <w:i/>
          <w:iCs/>
        </w:rPr>
        <w:t>*This amount</w:t>
      </w:r>
      <w:r w:rsidR="003504BC" w:rsidRPr="00B97D9E">
        <w:rPr>
          <w:rFonts w:ascii="Helvetica" w:hAnsi="Helvetica" w:cs="Helvetica"/>
          <w:i/>
          <w:iCs/>
        </w:rPr>
        <w:t xml:space="preserve"> will vary by geographic location and other factors. </w:t>
      </w:r>
    </w:p>
    <w:p w14:paraId="5BAE14FB" w14:textId="77777777" w:rsidR="00D81EA5" w:rsidRPr="00D81EA5" w:rsidRDefault="00D81EA5" w:rsidP="00B97D9E">
      <w:pPr>
        <w:spacing w:line="240" w:lineRule="auto"/>
        <w:rPr>
          <w:rFonts w:ascii="Helvetica" w:hAnsi="Helvetica" w:cs="Helvetica"/>
          <w:b/>
          <w:bCs/>
        </w:rPr>
      </w:pPr>
    </w:p>
    <w:sectPr w:rsidR="00D81EA5" w:rsidRPr="00D8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2816" w14:textId="77777777" w:rsidR="003504BC" w:rsidRDefault="003504BC" w:rsidP="003504BC">
      <w:pPr>
        <w:spacing w:after="0" w:line="240" w:lineRule="auto"/>
      </w:pPr>
      <w:r>
        <w:separator/>
      </w:r>
    </w:p>
  </w:endnote>
  <w:endnote w:type="continuationSeparator" w:id="0">
    <w:p w14:paraId="5CA63872" w14:textId="77777777" w:rsidR="003504BC" w:rsidRDefault="003504BC" w:rsidP="0035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2AC4" w14:textId="77777777" w:rsidR="003504BC" w:rsidRDefault="003504BC" w:rsidP="003504BC">
      <w:pPr>
        <w:spacing w:after="0" w:line="240" w:lineRule="auto"/>
      </w:pPr>
      <w:r>
        <w:separator/>
      </w:r>
    </w:p>
  </w:footnote>
  <w:footnote w:type="continuationSeparator" w:id="0">
    <w:p w14:paraId="2935642A" w14:textId="77777777" w:rsidR="003504BC" w:rsidRDefault="003504BC" w:rsidP="00350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B6502"/>
    <w:multiLevelType w:val="hybridMultilevel"/>
    <w:tmpl w:val="7B0C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C0B5E"/>
    <w:multiLevelType w:val="hybridMultilevel"/>
    <w:tmpl w:val="91B2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89310">
    <w:abstractNumId w:val="1"/>
  </w:num>
  <w:num w:numId="2" w16cid:durableId="193836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FE"/>
    <w:rsid w:val="00004AF1"/>
    <w:rsid w:val="00090E48"/>
    <w:rsid w:val="001472C6"/>
    <w:rsid w:val="00172FA0"/>
    <w:rsid w:val="00176757"/>
    <w:rsid w:val="00176896"/>
    <w:rsid w:val="001E78E0"/>
    <w:rsid w:val="002277E0"/>
    <w:rsid w:val="00267D37"/>
    <w:rsid w:val="00276221"/>
    <w:rsid w:val="002B046A"/>
    <w:rsid w:val="002C631C"/>
    <w:rsid w:val="003504BC"/>
    <w:rsid w:val="00384246"/>
    <w:rsid w:val="003B34FE"/>
    <w:rsid w:val="003F272C"/>
    <w:rsid w:val="00420AF7"/>
    <w:rsid w:val="00420BF8"/>
    <w:rsid w:val="00423F6B"/>
    <w:rsid w:val="004615FD"/>
    <w:rsid w:val="00475E90"/>
    <w:rsid w:val="004F1774"/>
    <w:rsid w:val="00574027"/>
    <w:rsid w:val="00586A9A"/>
    <w:rsid w:val="005A0434"/>
    <w:rsid w:val="005A5991"/>
    <w:rsid w:val="006231D4"/>
    <w:rsid w:val="006266FE"/>
    <w:rsid w:val="006521D5"/>
    <w:rsid w:val="00694C65"/>
    <w:rsid w:val="006A09BF"/>
    <w:rsid w:val="006D6340"/>
    <w:rsid w:val="0085383D"/>
    <w:rsid w:val="008754A2"/>
    <w:rsid w:val="008A2800"/>
    <w:rsid w:val="008D2890"/>
    <w:rsid w:val="00962AA0"/>
    <w:rsid w:val="00987435"/>
    <w:rsid w:val="00AE20CD"/>
    <w:rsid w:val="00B16038"/>
    <w:rsid w:val="00B314DE"/>
    <w:rsid w:val="00B96186"/>
    <w:rsid w:val="00B97D9E"/>
    <w:rsid w:val="00BE7130"/>
    <w:rsid w:val="00C441F6"/>
    <w:rsid w:val="00C62B8F"/>
    <w:rsid w:val="00D4313F"/>
    <w:rsid w:val="00D45B7F"/>
    <w:rsid w:val="00D81EA5"/>
    <w:rsid w:val="00ED46CA"/>
    <w:rsid w:val="00F272FB"/>
    <w:rsid w:val="00F329EB"/>
    <w:rsid w:val="00F444D7"/>
    <w:rsid w:val="00F6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5A2"/>
  <w15:chartTrackingRefBased/>
  <w15:docId w15:val="{8903D4F0-0EF6-4E03-B4F7-17F36966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4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4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4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4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4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4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4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4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4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4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4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4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4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4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4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4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4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4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34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4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4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34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34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34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34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34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4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4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34F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B34F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4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4BC"/>
  </w:style>
  <w:style w:type="paragraph" w:styleId="Footer">
    <w:name w:val="footer"/>
    <w:basedOn w:val="Normal"/>
    <w:link w:val="FooterChar"/>
    <w:uiPriority w:val="99"/>
    <w:unhideWhenUsed/>
    <w:rsid w:val="0035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4BC"/>
  </w:style>
  <w:style w:type="paragraph" w:styleId="Revision">
    <w:name w:val="Revision"/>
    <w:hidden/>
    <w:uiPriority w:val="99"/>
    <w:semiHidden/>
    <w:rsid w:val="00276221"/>
    <w:pPr>
      <w:spacing w:after="0" w:line="240" w:lineRule="auto"/>
    </w:pPr>
  </w:style>
  <w:style w:type="table" w:styleId="TableGrid">
    <w:name w:val="Table Grid"/>
    <w:basedOn w:val="TableNormal"/>
    <w:uiPriority w:val="39"/>
    <w:rsid w:val="0062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4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1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-inspection.federalregister.gov/2023-2418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Moyer</dc:creator>
  <cp:keywords/>
  <dc:description/>
  <cp:lastModifiedBy>Kay Moyer</cp:lastModifiedBy>
  <cp:revision>3</cp:revision>
  <dcterms:created xsi:type="dcterms:W3CDTF">2024-02-06T19:42:00Z</dcterms:created>
  <dcterms:modified xsi:type="dcterms:W3CDTF">2024-02-06T19:47:00Z</dcterms:modified>
</cp:coreProperties>
</file>